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47" w:rsidRDefault="003A5AEF">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193</wp:posOffset>
            </wp:positionV>
            <wp:extent cx="2647950" cy="1724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kinney logo.png"/>
                    <pic:cNvPicPr/>
                  </pic:nvPicPr>
                  <pic:blipFill>
                    <a:blip r:embed="rId5">
                      <a:extLst>
                        <a:ext uri="{28A0092B-C50C-407E-A947-70E740481C1C}">
                          <a14:useLocalDpi xmlns:a14="http://schemas.microsoft.com/office/drawing/2010/main" val="0"/>
                        </a:ext>
                      </a:extLst>
                    </a:blip>
                    <a:stretch>
                      <a:fillRect/>
                    </a:stretch>
                  </pic:blipFill>
                  <pic:spPr>
                    <a:xfrm>
                      <a:off x="0" y="0"/>
                      <a:ext cx="2647950" cy="1724025"/>
                    </a:xfrm>
                    <a:prstGeom prst="rect">
                      <a:avLst/>
                    </a:prstGeom>
                  </pic:spPr>
                </pic:pic>
              </a:graphicData>
            </a:graphic>
          </wp:anchor>
        </w:drawing>
      </w:r>
    </w:p>
    <w:p w:rsidR="003A5AEF" w:rsidRDefault="003A5AEF"/>
    <w:p w:rsidR="003A5AEF" w:rsidRPr="00C66791" w:rsidRDefault="003A5AEF" w:rsidP="00C66791">
      <w:pPr>
        <w:jc w:val="center"/>
        <w:rPr>
          <w:rFonts w:ascii="Leelawadee" w:eastAsia="Malgun Gothic" w:hAnsi="Leelawadee" w:cs="Leelawadee"/>
          <w:b/>
          <w:sz w:val="32"/>
          <w:szCs w:val="32"/>
        </w:rPr>
      </w:pPr>
      <w:r w:rsidRPr="00C66791">
        <w:rPr>
          <w:rFonts w:ascii="Leelawadee" w:eastAsia="Malgun Gothic" w:hAnsi="Leelawadee" w:cs="Leelawadee"/>
          <w:b/>
          <w:sz w:val="32"/>
          <w:szCs w:val="32"/>
        </w:rPr>
        <w:t>Serving Students Who Lost Housing</w:t>
      </w:r>
    </w:p>
    <w:p w:rsidR="003A5AEF" w:rsidRPr="00C66791" w:rsidRDefault="003A5AEF" w:rsidP="00C66791">
      <w:pPr>
        <w:jc w:val="center"/>
        <w:rPr>
          <w:rFonts w:ascii="Malgun Gothic" w:eastAsia="Malgun Gothic" w:hAnsi="Malgun Gothic"/>
          <w:sz w:val="32"/>
          <w:szCs w:val="32"/>
        </w:rPr>
      </w:pPr>
    </w:p>
    <w:p w:rsidR="003A5AEF" w:rsidRDefault="00C66791" w:rsidP="00C66791">
      <w:pPr>
        <w:jc w:val="center"/>
        <w:rPr>
          <w:rFonts w:ascii="Century Gothic" w:eastAsia="Malgun Gothic" w:hAnsi="Century Gothic"/>
          <w:sz w:val="28"/>
          <w:szCs w:val="28"/>
        </w:rPr>
      </w:pPr>
      <w:r>
        <w:rPr>
          <w:noProof/>
        </w:rPr>
        <w:drawing>
          <wp:anchor distT="0" distB="0" distL="114300" distR="114300" simplePos="0" relativeHeight="251659264" behindDoc="0" locked="0" layoutInCell="1" allowOverlap="1">
            <wp:simplePos x="0" y="0"/>
            <wp:positionH relativeFrom="column">
              <wp:posOffset>99032</wp:posOffset>
            </wp:positionH>
            <wp:positionV relativeFrom="paragraph">
              <wp:posOffset>1326101</wp:posOffset>
            </wp:positionV>
            <wp:extent cx="2705100" cy="16859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kinney 2.png"/>
                    <pic:cNvPicPr/>
                  </pic:nvPicPr>
                  <pic:blipFill>
                    <a:blip r:embed="rId6">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anchor>
        </w:drawing>
      </w:r>
      <w:r w:rsidR="003A5AEF" w:rsidRPr="00C66791">
        <w:rPr>
          <w:rFonts w:ascii="Century Gothic" w:eastAsia="Malgun Gothic" w:hAnsi="Century Gothic"/>
          <w:sz w:val="28"/>
          <w:szCs w:val="28"/>
        </w:rPr>
        <w:t>Bridging the Gap between Living in Transition and School</w:t>
      </w:r>
    </w:p>
    <w:p w:rsidR="00C66791" w:rsidRDefault="00C66791" w:rsidP="00C66791">
      <w:pPr>
        <w:jc w:val="center"/>
        <w:rPr>
          <w:rFonts w:ascii="Century Gothic" w:eastAsia="Malgun Gothic" w:hAnsi="Century Gothic"/>
          <w:sz w:val="28"/>
          <w:szCs w:val="28"/>
        </w:rPr>
      </w:pPr>
    </w:p>
    <w:p w:rsidR="00C66791" w:rsidRDefault="00C66791" w:rsidP="00C66791">
      <w:pPr>
        <w:jc w:val="center"/>
        <w:rPr>
          <w:rFonts w:ascii="Century Gothic" w:eastAsia="Malgun Gothic" w:hAnsi="Century Gothic"/>
          <w:sz w:val="28"/>
          <w:szCs w:val="28"/>
        </w:rPr>
      </w:pPr>
    </w:p>
    <w:p w:rsidR="00C66791" w:rsidRDefault="00C66791" w:rsidP="00C66791">
      <w:pPr>
        <w:jc w:val="center"/>
        <w:rPr>
          <w:rFonts w:ascii="Century Gothic" w:eastAsia="Malgun Gothic" w:hAnsi="Century Gothic"/>
          <w:sz w:val="28"/>
          <w:szCs w:val="28"/>
        </w:rPr>
      </w:pPr>
    </w:p>
    <w:p w:rsidR="00C66791" w:rsidRPr="007750BD" w:rsidRDefault="00C66791" w:rsidP="00C66791">
      <w:pPr>
        <w:rPr>
          <w:rFonts w:ascii="Leelawadee" w:eastAsia="Malgun Gothic" w:hAnsi="Leelawadee" w:cs="Leelawadee"/>
          <w:b/>
          <w:sz w:val="20"/>
          <w:szCs w:val="20"/>
        </w:rPr>
      </w:pPr>
      <w:r w:rsidRPr="007750BD">
        <w:rPr>
          <w:rFonts w:ascii="Leelawadee" w:eastAsia="Malgun Gothic" w:hAnsi="Leelawadee" w:cs="Leelawadee"/>
          <w:b/>
          <w:sz w:val="20"/>
          <w:szCs w:val="20"/>
        </w:rPr>
        <w:t>Every Child Has the Right to an Education</w:t>
      </w:r>
    </w:p>
    <w:p w:rsidR="00C66791" w:rsidRDefault="00C66791" w:rsidP="00C66791">
      <w:pPr>
        <w:spacing w:after="0" w:line="240" w:lineRule="auto"/>
        <w:rPr>
          <w:rFonts w:ascii="Century Gothic" w:eastAsia="Malgun Gothic" w:hAnsi="Century Gothic"/>
          <w:sz w:val="18"/>
          <w:szCs w:val="18"/>
        </w:rPr>
      </w:pPr>
      <w:r w:rsidRPr="00C66791">
        <w:rPr>
          <w:rFonts w:ascii="Century Gothic" w:eastAsia="Malgun Gothic" w:hAnsi="Century Gothic"/>
          <w:sz w:val="18"/>
          <w:szCs w:val="18"/>
        </w:rPr>
        <w:t>If you lost your housing due to economic hardship, natural disaster, or other similar reason, and are living temporarily with friends or rela</w:t>
      </w:r>
      <w:r>
        <w:rPr>
          <w:rFonts w:ascii="Century Gothic" w:eastAsia="Malgun Gothic" w:hAnsi="Century Gothic"/>
          <w:sz w:val="18"/>
          <w:szCs w:val="18"/>
        </w:rPr>
        <w:t>tives, or in a shelter, motel, v</w:t>
      </w:r>
      <w:r w:rsidRPr="00C66791">
        <w:rPr>
          <w:rFonts w:ascii="Century Gothic" w:eastAsia="Malgun Gothic" w:hAnsi="Century Gothic"/>
          <w:sz w:val="18"/>
          <w:szCs w:val="18"/>
        </w:rPr>
        <w:t>ehicle, or cam</w:t>
      </w:r>
      <w:r>
        <w:rPr>
          <w:rFonts w:ascii="Century Gothic" w:eastAsia="Malgun Gothic" w:hAnsi="Century Gothic"/>
          <w:sz w:val="18"/>
          <w:szCs w:val="18"/>
        </w:rPr>
        <w:t>pground; or on the street; in an abandoned building, then you are eligible to receive services provided under the McKinney-Vento Act.</w:t>
      </w:r>
    </w:p>
    <w:p w:rsidR="00C66791" w:rsidRDefault="00C66791" w:rsidP="00C66791">
      <w:pPr>
        <w:spacing w:after="0" w:line="240" w:lineRule="auto"/>
        <w:rPr>
          <w:rFonts w:ascii="Century Gothic" w:eastAsia="Malgun Gothic" w:hAnsi="Century Gothic"/>
          <w:sz w:val="18"/>
          <w:szCs w:val="18"/>
        </w:rPr>
      </w:pPr>
    </w:p>
    <w:p w:rsidR="00C66791" w:rsidRPr="007750BD" w:rsidRDefault="00C66791" w:rsidP="00C66791">
      <w:pPr>
        <w:spacing w:after="0" w:line="240" w:lineRule="auto"/>
        <w:rPr>
          <w:rFonts w:ascii="Leelawadee" w:eastAsia="Malgun Gothic" w:hAnsi="Leelawadee" w:cs="Leelawadee"/>
          <w:b/>
          <w:sz w:val="18"/>
          <w:szCs w:val="18"/>
        </w:rPr>
      </w:pPr>
      <w:r w:rsidRPr="007750BD">
        <w:rPr>
          <w:rFonts w:ascii="Leelawadee" w:eastAsia="Malgun Gothic" w:hAnsi="Leelawadee" w:cs="Leelawadee"/>
          <w:b/>
          <w:sz w:val="18"/>
          <w:szCs w:val="18"/>
        </w:rPr>
        <w:t>Your children have the right to:</w:t>
      </w:r>
    </w:p>
    <w:p w:rsidR="00957DEE" w:rsidRPr="009307E4" w:rsidRDefault="00957DEE" w:rsidP="00C66791">
      <w:pPr>
        <w:spacing w:after="0" w:line="240" w:lineRule="auto"/>
        <w:rPr>
          <w:rFonts w:ascii="Century Gothic" w:eastAsia="Malgun Gothic" w:hAnsi="Century Gothic"/>
          <w:b/>
          <w:sz w:val="18"/>
          <w:szCs w:val="18"/>
        </w:rPr>
      </w:pPr>
    </w:p>
    <w:p w:rsidR="00C66791" w:rsidRPr="00C66791" w:rsidRDefault="00C66791" w:rsidP="00C66791">
      <w:pPr>
        <w:pStyle w:val="ListParagraph"/>
        <w:numPr>
          <w:ilvl w:val="0"/>
          <w:numId w:val="1"/>
        </w:numPr>
        <w:spacing w:after="0" w:line="240" w:lineRule="auto"/>
        <w:rPr>
          <w:rFonts w:ascii="Century Gothic" w:eastAsia="Malgun Gothic" w:hAnsi="Century Gothic"/>
          <w:sz w:val="18"/>
          <w:szCs w:val="18"/>
        </w:rPr>
      </w:pPr>
      <w:r>
        <w:rPr>
          <w:rFonts w:ascii="Century Gothic" w:eastAsia="Malgun Gothic" w:hAnsi="Century Gothic"/>
          <w:sz w:val="18"/>
          <w:szCs w:val="18"/>
        </w:rPr>
        <w:t xml:space="preserve">Go to their school of origin (the school the child or youth attended when permanently </w:t>
      </w:r>
      <w:proofErr w:type="gramStart"/>
      <w:r>
        <w:rPr>
          <w:rFonts w:ascii="Century Gothic" w:eastAsia="Malgun Gothic" w:hAnsi="Century Gothic"/>
          <w:sz w:val="18"/>
          <w:szCs w:val="18"/>
        </w:rPr>
        <w:t>housed</w:t>
      </w:r>
      <w:proofErr w:type="gramEnd"/>
      <w:r>
        <w:rPr>
          <w:rFonts w:ascii="Century Gothic" w:eastAsia="Malgun Gothic" w:hAnsi="Century Gothic"/>
          <w:sz w:val="18"/>
          <w:szCs w:val="18"/>
        </w:rPr>
        <w:t xml:space="preserve"> or where last enrolled) or zoned school.</w:t>
      </w:r>
    </w:p>
    <w:p w:rsidR="00C66791" w:rsidRDefault="00C66791" w:rsidP="00C66791">
      <w:pPr>
        <w:pStyle w:val="ListParagraph"/>
        <w:numPr>
          <w:ilvl w:val="0"/>
          <w:numId w:val="1"/>
        </w:numPr>
        <w:spacing w:after="0" w:line="240" w:lineRule="auto"/>
        <w:rPr>
          <w:rFonts w:ascii="Century Gothic" w:eastAsia="Malgun Gothic" w:hAnsi="Century Gothic"/>
          <w:sz w:val="18"/>
          <w:szCs w:val="18"/>
        </w:rPr>
      </w:pPr>
      <w:r>
        <w:rPr>
          <w:rFonts w:ascii="Century Gothic" w:eastAsia="Malgun Gothic" w:hAnsi="Century Gothic"/>
          <w:sz w:val="18"/>
          <w:szCs w:val="18"/>
        </w:rPr>
        <w:t>Continue in the school they last attended before they lost their housing, if that is the parent/guardian’s choice, and it is feasible and in the child’s best interest, or the school for which they are zoned due to their current living situation.</w:t>
      </w:r>
    </w:p>
    <w:p w:rsidR="00C66791" w:rsidRDefault="00C66791" w:rsidP="00C66791">
      <w:pPr>
        <w:pStyle w:val="ListParagraph"/>
        <w:numPr>
          <w:ilvl w:val="0"/>
          <w:numId w:val="1"/>
        </w:numPr>
        <w:spacing w:after="0" w:line="240" w:lineRule="auto"/>
        <w:rPr>
          <w:rFonts w:ascii="Century Gothic" w:eastAsia="Malgun Gothic" w:hAnsi="Century Gothic"/>
          <w:sz w:val="18"/>
          <w:szCs w:val="18"/>
        </w:rPr>
      </w:pPr>
      <w:r>
        <w:rPr>
          <w:rFonts w:ascii="Century Gothic" w:eastAsia="Malgun Gothic" w:hAnsi="Century Gothic"/>
          <w:sz w:val="18"/>
          <w:szCs w:val="18"/>
        </w:rPr>
        <w:t>Enroll and attend classes immediately while the school arranges for the transfer of school and immunization records and any other documents required for enrollment.</w:t>
      </w:r>
    </w:p>
    <w:p w:rsidR="00C66791" w:rsidRDefault="00C66791" w:rsidP="00C66791">
      <w:pPr>
        <w:pStyle w:val="ListParagraph"/>
        <w:numPr>
          <w:ilvl w:val="0"/>
          <w:numId w:val="1"/>
        </w:numPr>
        <w:spacing w:after="0" w:line="240" w:lineRule="auto"/>
        <w:rPr>
          <w:rFonts w:ascii="Century Gothic" w:eastAsia="Malgun Gothic" w:hAnsi="Century Gothic"/>
          <w:sz w:val="18"/>
          <w:szCs w:val="18"/>
        </w:rPr>
      </w:pPr>
      <w:r>
        <w:rPr>
          <w:rFonts w:ascii="Century Gothic" w:eastAsia="Malgun Gothic" w:hAnsi="Century Gothic"/>
          <w:sz w:val="18"/>
          <w:szCs w:val="18"/>
        </w:rPr>
        <w:t>Enroll and attend classes in the school where they are seeking enrollment (school of origin or zoned school) even while the school and the parent/guardian are seeking to resolve a dispute</w:t>
      </w:r>
      <w:r w:rsidR="009307E4">
        <w:rPr>
          <w:rFonts w:ascii="Century Gothic" w:eastAsia="Malgun Gothic" w:hAnsi="Century Gothic"/>
          <w:sz w:val="18"/>
          <w:szCs w:val="18"/>
        </w:rPr>
        <w:t xml:space="preserve"> over which school is in the best interest of the child. (Note: this does not mean any school in the district, only the school of origin or zoned school)</w:t>
      </w:r>
    </w:p>
    <w:p w:rsidR="009307E4" w:rsidRDefault="009307E4" w:rsidP="00C66791">
      <w:pPr>
        <w:pStyle w:val="ListParagraph"/>
        <w:numPr>
          <w:ilvl w:val="0"/>
          <w:numId w:val="1"/>
        </w:numPr>
        <w:spacing w:after="0" w:line="240" w:lineRule="auto"/>
        <w:rPr>
          <w:rFonts w:ascii="Century Gothic" w:eastAsia="Malgun Gothic" w:hAnsi="Century Gothic"/>
          <w:sz w:val="18"/>
          <w:szCs w:val="18"/>
        </w:rPr>
      </w:pPr>
      <w:r>
        <w:rPr>
          <w:rFonts w:ascii="Century Gothic" w:eastAsia="Malgun Gothic" w:hAnsi="Century Gothic"/>
          <w:sz w:val="18"/>
          <w:szCs w:val="18"/>
        </w:rPr>
        <w:t>Receive transportation to the school they last attended before they lost their housing (if a parent/guardian requests such transportation); however, if the student lives with two miles of the school, then transportation is not guaranteed.</w:t>
      </w:r>
    </w:p>
    <w:p w:rsidR="009307E4" w:rsidRDefault="009307E4" w:rsidP="00C66791">
      <w:pPr>
        <w:pStyle w:val="ListParagraph"/>
        <w:numPr>
          <w:ilvl w:val="0"/>
          <w:numId w:val="1"/>
        </w:numPr>
        <w:spacing w:after="0" w:line="240" w:lineRule="auto"/>
        <w:rPr>
          <w:rFonts w:ascii="Century Gothic" w:eastAsia="Malgun Gothic" w:hAnsi="Century Gothic"/>
          <w:sz w:val="18"/>
          <w:szCs w:val="18"/>
        </w:rPr>
      </w:pPr>
      <w:r>
        <w:rPr>
          <w:rFonts w:ascii="Century Gothic" w:eastAsia="Malgun Gothic" w:hAnsi="Century Gothic"/>
          <w:sz w:val="18"/>
          <w:szCs w:val="18"/>
        </w:rPr>
        <w:t>Participate in any school programs and receive any school services for which they qualify.</w:t>
      </w:r>
    </w:p>
    <w:p w:rsidR="009307E4" w:rsidRDefault="009307E4" w:rsidP="009307E4">
      <w:pPr>
        <w:spacing w:after="0" w:line="240" w:lineRule="auto"/>
        <w:rPr>
          <w:rFonts w:ascii="Century Gothic" w:eastAsia="Malgun Gothic" w:hAnsi="Century Gothic"/>
          <w:sz w:val="18"/>
          <w:szCs w:val="18"/>
        </w:rPr>
      </w:pPr>
    </w:p>
    <w:p w:rsidR="009307E4" w:rsidRDefault="009307E4" w:rsidP="009307E4">
      <w:pPr>
        <w:spacing w:after="0" w:line="240" w:lineRule="auto"/>
        <w:rPr>
          <w:rFonts w:ascii="Century Gothic" w:eastAsia="Malgun Gothic" w:hAnsi="Century Gothic"/>
          <w:sz w:val="18"/>
          <w:szCs w:val="18"/>
        </w:rPr>
      </w:pPr>
    </w:p>
    <w:p w:rsidR="009307E4" w:rsidRDefault="009307E4" w:rsidP="009307E4">
      <w:pPr>
        <w:spacing w:after="0" w:line="240" w:lineRule="auto"/>
        <w:rPr>
          <w:rFonts w:ascii="Century Gothic" w:eastAsia="Malgun Gothic" w:hAnsi="Century Gothic"/>
          <w:sz w:val="18"/>
          <w:szCs w:val="18"/>
        </w:rPr>
      </w:pPr>
    </w:p>
    <w:p w:rsidR="009307E4" w:rsidRPr="007750BD" w:rsidRDefault="009307E4" w:rsidP="009307E4">
      <w:pPr>
        <w:spacing w:after="0" w:line="240" w:lineRule="auto"/>
        <w:rPr>
          <w:rFonts w:ascii="Leelawadee" w:eastAsia="Malgun Gothic" w:hAnsi="Leelawadee" w:cs="Leelawadee"/>
          <w:b/>
          <w:sz w:val="20"/>
          <w:szCs w:val="20"/>
        </w:rPr>
      </w:pPr>
      <w:r w:rsidRPr="007750BD">
        <w:rPr>
          <w:rFonts w:ascii="Leelawadee" w:eastAsia="Malgun Gothic" w:hAnsi="Leelawadee" w:cs="Leelawadee"/>
          <w:b/>
          <w:sz w:val="20"/>
          <w:szCs w:val="20"/>
        </w:rPr>
        <w:t>Questions for Parents to Ask at School</w:t>
      </w:r>
    </w:p>
    <w:p w:rsidR="009307E4" w:rsidRDefault="009307E4" w:rsidP="009307E4">
      <w:pPr>
        <w:spacing w:after="0" w:line="240" w:lineRule="auto"/>
        <w:rPr>
          <w:rFonts w:ascii="Century Gothic" w:eastAsia="Malgun Gothic" w:hAnsi="Century Gothic"/>
          <w:sz w:val="18"/>
          <w:szCs w:val="18"/>
        </w:rPr>
      </w:pPr>
    </w:p>
    <w:p w:rsidR="009307E4" w:rsidRDefault="009307E4" w:rsidP="009307E4">
      <w:pPr>
        <w:spacing w:after="0" w:line="240" w:lineRule="auto"/>
        <w:rPr>
          <w:rFonts w:ascii="Century Gothic" w:eastAsia="Malgun Gothic" w:hAnsi="Century Gothic"/>
          <w:sz w:val="18"/>
          <w:szCs w:val="18"/>
        </w:rPr>
      </w:pPr>
      <w:r>
        <w:rPr>
          <w:rFonts w:ascii="Century Gothic" w:eastAsia="Malgun Gothic" w:hAnsi="Century Gothic"/>
          <w:noProof/>
          <w:sz w:val="18"/>
          <w:szCs w:val="18"/>
        </w:rPr>
        <w:drawing>
          <wp:anchor distT="0" distB="0" distL="114300" distR="114300" simplePos="0" relativeHeight="251660288" behindDoc="0" locked="0" layoutInCell="1" allowOverlap="1">
            <wp:simplePos x="0" y="0"/>
            <wp:positionH relativeFrom="column">
              <wp:posOffset>3976</wp:posOffset>
            </wp:positionH>
            <wp:positionV relativeFrom="paragraph">
              <wp:posOffset>1739</wp:posOffset>
            </wp:positionV>
            <wp:extent cx="999418" cy="755374"/>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stio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418" cy="755374"/>
                    </a:xfrm>
                    <a:prstGeom prst="rect">
                      <a:avLst/>
                    </a:prstGeom>
                  </pic:spPr>
                </pic:pic>
              </a:graphicData>
            </a:graphic>
          </wp:anchor>
        </w:drawing>
      </w:r>
      <w:r>
        <w:rPr>
          <w:rFonts w:ascii="Century Gothic" w:eastAsia="Malgun Gothic" w:hAnsi="Century Gothic"/>
          <w:sz w:val="18"/>
          <w:szCs w:val="18"/>
        </w:rPr>
        <w:t>Children can be encouraged by your interest in their day at school, their homework, and the papers they bring from school.</w:t>
      </w:r>
    </w:p>
    <w:p w:rsidR="009307E4" w:rsidRDefault="009307E4" w:rsidP="009307E4">
      <w:pPr>
        <w:spacing w:after="0" w:line="240" w:lineRule="auto"/>
        <w:rPr>
          <w:rFonts w:ascii="Century Gothic" w:eastAsia="Malgun Gothic" w:hAnsi="Century Gothic"/>
          <w:sz w:val="18"/>
          <w:szCs w:val="18"/>
        </w:rPr>
      </w:pPr>
    </w:p>
    <w:p w:rsidR="009307E4" w:rsidRDefault="009307E4" w:rsidP="009307E4">
      <w:pPr>
        <w:spacing w:after="0" w:line="240" w:lineRule="auto"/>
        <w:rPr>
          <w:rFonts w:ascii="Century Gothic" w:eastAsia="Malgun Gothic" w:hAnsi="Century Gothic"/>
          <w:sz w:val="18"/>
          <w:szCs w:val="18"/>
        </w:rPr>
      </w:pPr>
      <w:r>
        <w:rPr>
          <w:rFonts w:ascii="Century Gothic" w:eastAsia="Malgun Gothic" w:hAnsi="Century Gothic"/>
          <w:sz w:val="18"/>
          <w:szCs w:val="18"/>
        </w:rPr>
        <w:t>They also benefit when you take time to ask questions about school and visit their school.</w:t>
      </w:r>
    </w:p>
    <w:p w:rsidR="009307E4" w:rsidRDefault="009307E4" w:rsidP="009307E4">
      <w:pPr>
        <w:spacing w:after="0" w:line="240" w:lineRule="auto"/>
        <w:rPr>
          <w:rFonts w:ascii="Century Gothic" w:eastAsia="Malgun Gothic" w:hAnsi="Century Gothic"/>
          <w:sz w:val="18"/>
          <w:szCs w:val="18"/>
        </w:rPr>
      </w:pPr>
    </w:p>
    <w:p w:rsidR="009307E4" w:rsidRPr="007750BD" w:rsidRDefault="009307E4" w:rsidP="009307E4">
      <w:pPr>
        <w:spacing w:after="0" w:line="240" w:lineRule="auto"/>
        <w:rPr>
          <w:rFonts w:ascii="Leelawadee" w:eastAsia="Malgun Gothic" w:hAnsi="Leelawadee" w:cs="Leelawadee"/>
          <w:b/>
          <w:sz w:val="18"/>
          <w:szCs w:val="18"/>
        </w:rPr>
      </w:pPr>
      <w:r w:rsidRPr="007750BD">
        <w:rPr>
          <w:rFonts w:ascii="Leelawadee" w:eastAsia="Malgun Gothic" w:hAnsi="Leelawadee" w:cs="Leelawadee"/>
          <w:b/>
          <w:sz w:val="18"/>
          <w:szCs w:val="18"/>
        </w:rPr>
        <w:t>Here are some questions for you to ask at your child’s school:</w:t>
      </w:r>
    </w:p>
    <w:p w:rsidR="00957DEE" w:rsidRPr="009307E4" w:rsidRDefault="00957DEE" w:rsidP="009307E4">
      <w:pPr>
        <w:spacing w:after="0" w:line="240" w:lineRule="auto"/>
        <w:rPr>
          <w:rFonts w:ascii="Century Gothic" w:eastAsia="Malgun Gothic" w:hAnsi="Century Gothic"/>
          <w:b/>
          <w:sz w:val="18"/>
          <w:szCs w:val="18"/>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Who is the local liaison for homeless education?</w:t>
      </w:r>
    </w:p>
    <w:p w:rsidR="00957DEE" w:rsidRPr="00957DEE" w:rsidRDefault="00957DEE" w:rsidP="00957DEE">
      <w:pPr>
        <w:pStyle w:val="ListParagraph"/>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What transportation is available for my child to stay in the same school?</w:t>
      </w:r>
    </w:p>
    <w:p w:rsidR="00957DEE" w:rsidRPr="00957DEE" w:rsidRDefault="00957DEE" w:rsidP="00957DEE">
      <w:pPr>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 xml:space="preserve">If we have to change schools, who can help us quickly transfer </w:t>
      </w:r>
      <w:proofErr w:type="gramStart"/>
      <w:r w:rsidRPr="00957DEE">
        <w:rPr>
          <w:rFonts w:ascii="Century Gothic" w:eastAsia="Malgun Gothic" w:hAnsi="Century Gothic"/>
          <w:sz w:val="16"/>
          <w:szCs w:val="16"/>
        </w:rPr>
        <w:t>records?</w:t>
      </w:r>
      <w:proofErr w:type="gramEnd"/>
    </w:p>
    <w:p w:rsidR="00957DEE" w:rsidRPr="00957DEE" w:rsidRDefault="00957DEE" w:rsidP="00957DEE">
      <w:pPr>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Is there a preschool program?</w:t>
      </w:r>
    </w:p>
    <w:p w:rsidR="00957DEE" w:rsidRPr="00957DEE" w:rsidRDefault="00957DEE" w:rsidP="00957DEE">
      <w:pPr>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Is there a summer school program?</w:t>
      </w:r>
    </w:p>
    <w:p w:rsidR="00957DEE" w:rsidRPr="00957DEE" w:rsidRDefault="00957DEE" w:rsidP="00957DEE">
      <w:pPr>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What tutoring services are available for my child?</w:t>
      </w:r>
    </w:p>
    <w:p w:rsidR="00957DEE" w:rsidRPr="00957DEE" w:rsidRDefault="00957DEE" w:rsidP="00957DEE">
      <w:pPr>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If I think my child needs special education services, what do I need to do to get them evaluated?</w:t>
      </w:r>
    </w:p>
    <w:p w:rsidR="00957DEE" w:rsidRPr="00957DEE" w:rsidRDefault="00957DEE" w:rsidP="00957DEE">
      <w:pPr>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If my child has a certain talent, are there special classes to benefit that talent?</w:t>
      </w:r>
    </w:p>
    <w:p w:rsidR="00957DEE" w:rsidRPr="00957DEE" w:rsidRDefault="00957DEE" w:rsidP="00957DEE">
      <w:pPr>
        <w:spacing w:after="0" w:line="240" w:lineRule="auto"/>
        <w:rPr>
          <w:rFonts w:ascii="Century Gothic" w:eastAsia="Malgun Gothic" w:hAnsi="Century Gothic"/>
          <w:sz w:val="16"/>
          <w:szCs w:val="16"/>
        </w:rPr>
      </w:pPr>
    </w:p>
    <w:p w:rsidR="009307E4" w:rsidRPr="00957DEE" w:rsidRDefault="009307E4"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 xml:space="preserve">What extracurricular activities </w:t>
      </w:r>
      <w:proofErr w:type="gramStart"/>
      <w:r w:rsidRPr="00957DEE">
        <w:rPr>
          <w:rFonts w:ascii="Century Gothic" w:eastAsia="Malgun Gothic" w:hAnsi="Century Gothic"/>
          <w:sz w:val="16"/>
          <w:szCs w:val="16"/>
        </w:rPr>
        <w:t>are offered</w:t>
      </w:r>
      <w:proofErr w:type="gramEnd"/>
      <w:r w:rsidRPr="00957DEE">
        <w:rPr>
          <w:rFonts w:ascii="Century Gothic" w:eastAsia="Malgun Gothic" w:hAnsi="Century Gothic"/>
          <w:sz w:val="16"/>
          <w:szCs w:val="16"/>
        </w:rPr>
        <w:t xml:space="preserve"> by this school? How can my child participate?</w:t>
      </w:r>
    </w:p>
    <w:p w:rsidR="00957DEE" w:rsidRPr="00957DEE" w:rsidRDefault="00957DEE" w:rsidP="00957DEE">
      <w:pPr>
        <w:pStyle w:val="ListParagraph"/>
        <w:rPr>
          <w:rFonts w:ascii="Century Gothic" w:eastAsia="Malgun Gothic" w:hAnsi="Century Gothic"/>
          <w:sz w:val="16"/>
          <w:szCs w:val="16"/>
        </w:rPr>
      </w:pPr>
    </w:p>
    <w:p w:rsidR="00957DEE" w:rsidRPr="00957DEE" w:rsidRDefault="00957DEE"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How can my child receive free meals at school?</w:t>
      </w:r>
    </w:p>
    <w:p w:rsidR="00957DEE" w:rsidRPr="00957DEE" w:rsidRDefault="00957DEE" w:rsidP="00957DEE">
      <w:pPr>
        <w:pStyle w:val="ListParagraph"/>
        <w:rPr>
          <w:rFonts w:ascii="Century Gothic" w:eastAsia="Malgun Gothic" w:hAnsi="Century Gothic"/>
          <w:sz w:val="16"/>
          <w:szCs w:val="16"/>
        </w:rPr>
      </w:pPr>
    </w:p>
    <w:p w:rsidR="00957DEE" w:rsidRPr="00957DEE" w:rsidRDefault="00957DEE"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Where are school supplies available?</w:t>
      </w:r>
    </w:p>
    <w:p w:rsidR="00957DEE" w:rsidRPr="00957DEE" w:rsidRDefault="00957DEE" w:rsidP="00957DEE">
      <w:pPr>
        <w:pStyle w:val="ListParagraph"/>
        <w:rPr>
          <w:rFonts w:ascii="Century Gothic" w:eastAsia="Malgun Gothic" w:hAnsi="Century Gothic"/>
          <w:sz w:val="16"/>
          <w:szCs w:val="16"/>
        </w:rPr>
      </w:pPr>
    </w:p>
    <w:p w:rsidR="00957DEE" w:rsidRPr="00957DEE" w:rsidRDefault="00957DEE" w:rsidP="009307E4">
      <w:pPr>
        <w:pStyle w:val="ListParagraph"/>
        <w:numPr>
          <w:ilvl w:val="0"/>
          <w:numId w:val="2"/>
        </w:numPr>
        <w:spacing w:after="0" w:line="240" w:lineRule="auto"/>
        <w:rPr>
          <w:rFonts w:ascii="Century Gothic" w:eastAsia="Malgun Gothic" w:hAnsi="Century Gothic"/>
          <w:sz w:val="16"/>
          <w:szCs w:val="16"/>
        </w:rPr>
      </w:pPr>
      <w:r w:rsidRPr="00957DEE">
        <w:rPr>
          <w:rFonts w:ascii="Century Gothic" w:eastAsia="Malgun Gothic" w:hAnsi="Century Gothic"/>
          <w:sz w:val="16"/>
          <w:szCs w:val="16"/>
        </w:rPr>
        <w:t>How will my child be able to go on educational field trips if we are unable to pay?</w:t>
      </w:r>
    </w:p>
    <w:p w:rsidR="00957DEE" w:rsidRPr="00957DEE" w:rsidRDefault="00957DEE" w:rsidP="00957DEE">
      <w:pPr>
        <w:pStyle w:val="ListParagraph"/>
        <w:rPr>
          <w:rFonts w:ascii="Century Gothic" w:eastAsia="Malgun Gothic" w:hAnsi="Century Gothic"/>
          <w:sz w:val="18"/>
          <w:szCs w:val="18"/>
        </w:rPr>
      </w:pPr>
    </w:p>
    <w:p w:rsidR="00957DEE" w:rsidRDefault="00957DEE" w:rsidP="00957DEE">
      <w:pPr>
        <w:spacing w:after="0" w:line="240" w:lineRule="auto"/>
        <w:rPr>
          <w:rFonts w:ascii="Century Gothic" w:eastAsia="Malgun Gothic" w:hAnsi="Century Gothic"/>
          <w:sz w:val="18"/>
          <w:szCs w:val="18"/>
        </w:rPr>
      </w:pPr>
    </w:p>
    <w:p w:rsidR="00957DEE" w:rsidRDefault="00957DEE" w:rsidP="00957DEE">
      <w:pPr>
        <w:spacing w:after="0" w:line="240" w:lineRule="auto"/>
        <w:rPr>
          <w:rFonts w:ascii="Century Gothic" w:eastAsia="Malgun Gothic" w:hAnsi="Century Gothic"/>
          <w:sz w:val="18"/>
          <w:szCs w:val="18"/>
        </w:rPr>
      </w:pPr>
    </w:p>
    <w:p w:rsidR="00957DEE" w:rsidRPr="007750BD" w:rsidRDefault="00957DEE" w:rsidP="00957DEE">
      <w:pPr>
        <w:spacing w:after="0" w:line="240" w:lineRule="auto"/>
        <w:rPr>
          <w:rFonts w:ascii="Leelawadee" w:eastAsia="Malgun Gothic" w:hAnsi="Leelawadee" w:cs="Leelawadee"/>
          <w:b/>
          <w:sz w:val="24"/>
          <w:szCs w:val="24"/>
        </w:rPr>
      </w:pPr>
      <w:r w:rsidRPr="007750BD">
        <w:rPr>
          <w:rFonts w:ascii="Leelawadee" w:eastAsia="Malgun Gothic" w:hAnsi="Leelawadee" w:cs="Leelawadee"/>
          <w:b/>
          <w:sz w:val="24"/>
          <w:szCs w:val="24"/>
        </w:rPr>
        <w:lastRenderedPageBreak/>
        <w:t>Free Lunch and Breakfast Program</w:t>
      </w:r>
    </w:p>
    <w:p w:rsidR="00957DEE" w:rsidRDefault="00957DEE" w:rsidP="00957DEE">
      <w:pPr>
        <w:spacing w:after="0" w:line="240" w:lineRule="auto"/>
        <w:rPr>
          <w:rFonts w:ascii="Century Gothic" w:eastAsia="Malgun Gothic" w:hAnsi="Century Gothic"/>
          <w:sz w:val="18"/>
          <w:szCs w:val="18"/>
        </w:rPr>
      </w:pPr>
    </w:p>
    <w:p w:rsidR="00957DEE" w:rsidRPr="00957DEE" w:rsidRDefault="00957DEE" w:rsidP="00957DEE">
      <w:pPr>
        <w:spacing w:after="0" w:line="240" w:lineRule="auto"/>
        <w:rPr>
          <w:rFonts w:ascii="Century Gothic" w:eastAsia="Malgun Gothic" w:hAnsi="Century Gothic"/>
          <w:sz w:val="20"/>
          <w:szCs w:val="20"/>
        </w:rPr>
      </w:pPr>
      <w:r w:rsidRPr="00957DEE">
        <w:rPr>
          <w:rFonts w:ascii="Century Gothic" w:eastAsia="Malgun Gothic" w:hAnsi="Century Gothic"/>
          <w:sz w:val="20"/>
          <w:szCs w:val="20"/>
        </w:rPr>
        <w:t>Public school children benefit from federal school nutrition programs that provide nutritious meals. Free breakfast and lunch are available to homeless children in public schools that offer them, if they qualify for McKinney-Vento services.</w:t>
      </w:r>
    </w:p>
    <w:p w:rsidR="00957DEE" w:rsidRDefault="00957DEE" w:rsidP="00957DEE">
      <w:pPr>
        <w:spacing w:after="0" w:line="240" w:lineRule="auto"/>
        <w:rPr>
          <w:rFonts w:ascii="Century Gothic" w:eastAsia="Malgun Gothic" w:hAnsi="Century Gothic"/>
          <w:sz w:val="18"/>
          <w:szCs w:val="18"/>
        </w:rPr>
      </w:pPr>
    </w:p>
    <w:p w:rsidR="00957DEE" w:rsidRDefault="00957DEE" w:rsidP="00957DEE">
      <w:pPr>
        <w:spacing w:after="0" w:line="240" w:lineRule="auto"/>
        <w:rPr>
          <w:rFonts w:ascii="Century Gothic" w:eastAsia="Malgun Gothic" w:hAnsi="Century Gothic"/>
          <w:sz w:val="18"/>
          <w:szCs w:val="18"/>
        </w:rPr>
      </w:pPr>
      <w:r>
        <w:rPr>
          <w:rFonts w:ascii="Century Gothic" w:eastAsia="Malgun Gothic" w:hAnsi="Century Gothic"/>
          <w:noProof/>
          <w:sz w:val="18"/>
          <w:szCs w:val="18"/>
        </w:rPr>
        <w:drawing>
          <wp:anchor distT="0" distB="0" distL="114300" distR="114300" simplePos="0" relativeHeight="251661312" behindDoc="1" locked="0" layoutInCell="1" allowOverlap="1">
            <wp:simplePos x="0" y="0"/>
            <wp:positionH relativeFrom="column">
              <wp:posOffset>758825</wp:posOffset>
            </wp:positionH>
            <wp:positionV relativeFrom="paragraph">
              <wp:posOffset>4445</wp:posOffset>
            </wp:positionV>
            <wp:extent cx="1073150" cy="1073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150" cy="1073150"/>
                    </a:xfrm>
                    <a:prstGeom prst="rect">
                      <a:avLst/>
                    </a:prstGeom>
                  </pic:spPr>
                </pic:pic>
              </a:graphicData>
            </a:graphic>
            <wp14:sizeRelH relativeFrom="margin">
              <wp14:pctWidth>0</wp14:pctWidth>
            </wp14:sizeRelH>
            <wp14:sizeRelV relativeFrom="margin">
              <wp14:pctHeight>0</wp14:pctHeight>
            </wp14:sizeRelV>
          </wp:anchor>
        </w:drawing>
      </w:r>
    </w:p>
    <w:p w:rsidR="00957DEE" w:rsidRDefault="00957DEE" w:rsidP="00957DEE">
      <w:pPr>
        <w:spacing w:after="0" w:line="240" w:lineRule="auto"/>
        <w:rPr>
          <w:rFonts w:ascii="Century Gothic" w:eastAsia="Malgun Gothic" w:hAnsi="Century Gothic"/>
          <w:sz w:val="18"/>
          <w:szCs w:val="18"/>
        </w:rPr>
      </w:pPr>
    </w:p>
    <w:p w:rsidR="00957DEE" w:rsidRPr="00957DEE" w:rsidRDefault="00957DEE" w:rsidP="00957DEE">
      <w:pPr>
        <w:spacing w:after="0" w:line="240" w:lineRule="auto"/>
        <w:rPr>
          <w:rFonts w:ascii="Century Gothic" w:eastAsia="Malgun Gothic" w:hAnsi="Century Gothic"/>
          <w:sz w:val="18"/>
          <w:szCs w:val="18"/>
        </w:rPr>
      </w:pPr>
    </w:p>
    <w:p w:rsidR="009307E4" w:rsidRPr="009307E4" w:rsidRDefault="009307E4" w:rsidP="009307E4">
      <w:pPr>
        <w:spacing w:after="0" w:line="240" w:lineRule="auto"/>
        <w:rPr>
          <w:rFonts w:ascii="Century Gothic" w:eastAsia="Malgun Gothic" w:hAnsi="Century Gothic"/>
          <w:sz w:val="18"/>
          <w:szCs w:val="18"/>
        </w:rPr>
      </w:pPr>
    </w:p>
    <w:p w:rsidR="009307E4" w:rsidRPr="009307E4" w:rsidRDefault="009307E4" w:rsidP="009307E4">
      <w:pPr>
        <w:spacing w:after="0" w:line="240" w:lineRule="auto"/>
        <w:rPr>
          <w:rFonts w:ascii="Malgun Gothic" w:eastAsia="Malgun Gothic" w:hAnsi="Malgun Gothic"/>
          <w:b/>
          <w:sz w:val="20"/>
          <w:szCs w:val="20"/>
        </w:rPr>
      </w:pPr>
    </w:p>
    <w:p w:rsidR="009307E4" w:rsidRDefault="009307E4" w:rsidP="009307E4">
      <w:pPr>
        <w:spacing w:after="0" w:line="240" w:lineRule="auto"/>
        <w:rPr>
          <w:rFonts w:ascii="Century Gothic" w:eastAsia="Malgun Gothic" w:hAnsi="Century Gothic"/>
          <w:sz w:val="18"/>
          <w:szCs w:val="18"/>
        </w:rPr>
      </w:pPr>
    </w:p>
    <w:p w:rsidR="00957DEE" w:rsidRDefault="00957DEE" w:rsidP="009307E4">
      <w:pPr>
        <w:spacing w:after="0" w:line="240" w:lineRule="auto"/>
        <w:rPr>
          <w:rFonts w:ascii="Century Gothic" w:eastAsia="Malgun Gothic" w:hAnsi="Century Gothic"/>
          <w:sz w:val="18"/>
          <w:szCs w:val="18"/>
        </w:rPr>
      </w:pPr>
    </w:p>
    <w:p w:rsidR="00957DEE" w:rsidRDefault="00957DEE" w:rsidP="009307E4">
      <w:pPr>
        <w:spacing w:after="0" w:line="240" w:lineRule="auto"/>
        <w:rPr>
          <w:rFonts w:ascii="Century Gothic" w:eastAsia="Malgun Gothic" w:hAnsi="Century Gothic"/>
          <w:sz w:val="18"/>
          <w:szCs w:val="18"/>
        </w:rPr>
      </w:pPr>
    </w:p>
    <w:p w:rsidR="00957DEE" w:rsidRDefault="00957DEE" w:rsidP="009307E4">
      <w:pPr>
        <w:spacing w:after="0" w:line="240" w:lineRule="auto"/>
        <w:rPr>
          <w:rFonts w:ascii="Malgun Gothic" w:eastAsia="Malgun Gothic" w:hAnsi="Malgun Gothic"/>
          <w:b/>
          <w:sz w:val="24"/>
          <w:szCs w:val="24"/>
        </w:rPr>
      </w:pPr>
    </w:p>
    <w:p w:rsidR="00957DEE" w:rsidRPr="007750BD" w:rsidRDefault="00957DEE" w:rsidP="009307E4">
      <w:pPr>
        <w:spacing w:after="0" w:line="240" w:lineRule="auto"/>
        <w:rPr>
          <w:rFonts w:ascii="Leelawadee" w:eastAsia="Malgun Gothic" w:hAnsi="Leelawadee" w:cs="Leelawadee"/>
          <w:b/>
          <w:sz w:val="24"/>
          <w:szCs w:val="24"/>
        </w:rPr>
      </w:pPr>
      <w:r w:rsidRPr="007750BD">
        <w:rPr>
          <w:rFonts w:ascii="Leelawadee" w:eastAsia="Malgun Gothic" w:hAnsi="Leelawadee" w:cs="Leelawadee"/>
          <w:b/>
          <w:sz w:val="24"/>
          <w:szCs w:val="24"/>
        </w:rPr>
        <w:t>Special Education Services</w:t>
      </w:r>
    </w:p>
    <w:p w:rsidR="00957DEE" w:rsidRDefault="00957DEE" w:rsidP="009307E4">
      <w:pPr>
        <w:spacing w:after="0" w:line="240" w:lineRule="auto"/>
        <w:rPr>
          <w:rFonts w:ascii="Century Gothic" w:eastAsia="Malgun Gothic" w:hAnsi="Century Gothic"/>
          <w:sz w:val="18"/>
          <w:szCs w:val="18"/>
        </w:rPr>
      </w:pPr>
    </w:p>
    <w:p w:rsidR="00957DEE" w:rsidRPr="00957DEE" w:rsidRDefault="00957DEE" w:rsidP="009307E4">
      <w:pPr>
        <w:spacing w:after="0" w:line="240" w:lineRule="auto"/>
        <w:rPr>
          <w:rFonts w:ascii="Century Gothic" w:eastAsia="Malgun Gothic" w:hAnsi="Century Gothic"/>
          <w:sz w:val="20"/>
          <w:szCs w:val="20"/>
        </w:rPr>
      </w:pPr>
      <w:r w:rsidRPr="00957DEE">
        <w:rPr>
          <w:rFonts w:ascii="Century Gothic" w:eastAsia="Malgun Gothic" w:hAnsi="Century Gothic"/>
          <w:sz w:val="20"/>
          <w:szCs w:val="20"/>
        </w:rPr>
        <w:t>Florida children between ages 3 and 22, who are eligible for Exceptional Student Education (ESE) Programs, may receive a variety of services provided through the public school system. If a homeless child has an identified disability, he or she may be eligible for special education services.</w:t>
      </w:r>
    </w:p>
    <w:p w:rsidR="00957DEE" w:rsidRPr="00957DEE" w:rsidRDefault="00957DEE" w:rsidP="009307E4">
      <w:pPr>
        <w:spacing w:after="0" w:line="240" w:lineRule="auto"/>
        <w:rPr>
          <w:rFonts w:ascii="Century Gothic" w:eastAsia="Malgun Gothic" w:hAnsi="Century Gothic"/>
          <w:sz w:val="20"/>
          <w:szCs w:val="20"/>
        </w:rPr>
      </w:pPr>
    </w:p>
    <w:p w:rsidR="00957DEE" w:rsidRDefault="00957DEE" w:rsidP="009307E4">
      <w:pPr>
        <w:spacing w:after="0" w:line="240" w:lineRule="auto"/>
        <w:rPr>
          <w:rFonts w:ascii="Century Gothic" w:eastAsia="Malgun Gothic" w:hAnsi="Century Gothic"/>
          <w:sz w:val="20"/>
          <w:szCs w:val="20"/>
        </w:rPr>
      </w:pPr>
      <w:r w:rsidRPr="00957DEE">
        <w:rPr>
          <w:rFonts w:ascii="Century Gothic" w:eastAsia="Malgun Gothic" w:hAnsi="Century Gothic"/>
          <w:sz w:val="20"/>
          <w:szCs w:val="20"/>
        </w:rPr>
        <w:t>Parents who believe their child may qualify for special education should contact either the ESE or Student Services Department in their school district for additional information about programs for students with disabilities.</w:t>
      </w:r>
    </w:p>
    <w:p w:rsidR="00957DEE" w:rsidRDefault="00957DEE" w:rsidP="009307E4">
      <w:pPr>
        <w:spacing w:after="0" w:line="240" w:lineRule="auto"/>
        <w:rPr>
          <w:rFonts w:ascii="Century Gothic" w:eastAsia="Malgun Gothic" w:hAnsi="Century Gothic"/>
          <w:sz w:val="20"/>
          <w:szCs w:val="20"/>
        </w:rPr>
      </w:pPr>
    </w:p>
    <w:p w:rsidR="00957DEE"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noProof/>
          <w:sz w:val="20"/>
          <w:szCs w:val="20"/>
        </w:rPr>
        <w:drawing>
          <wp:inline distT="0" distB="0" distL="0" distR="0">
            <wp:extent cx="2091750" cy="962108"/>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ds.jpg"/>
                    <pic:cNvPicPr/>
                  </pic:nvPicPr>
                  <pic:blipFill>
                    <a:blip r:embed="rId9">
                      <a:extLst>
                        <a:ext uri="{28A0092B-C50C-407E-A947-70E740481C1C}">
                          <a14:useLocalDpi xmlns:a14="http://schemas.microsoft.com/office/drawing/2010/main" val="0"/>
                        </a:ext>
                      </a:extLst>
                    </a:blip>
                    <a:stretch>
                      <a:fillRect/>
                    </a:stretch>
                  </pic:blipFill>
                  <pic:spPr>
                    <a:xfrm>
                      <a:off x="0" y="0"/>
                      <a:ext cx="2114867" cy="972741"/>
                    </a:xfrm>
                    <a:prstGeom prst="rect">
                      <a:avLst/>
                    </a:prstGeom>
                  </pic:spPr>
                </pic:pic>
              </a:graphicData>
            </a:graphic>
          </wp:inline>
        </w:drawing>
      </w:r>
    </w:p>
    <w:p w:rsidR="00957DEE" w:rsidRDefault="00957DEE" w:rsidP="009307E4">
      <w:pPr>
        <w:spacing w:after="0" w:line="240" w:lineRule="auto"/>
        <w:rPr>
          <w:rFonts w:ascii="Century Gothic" w:eastAsia="Malgun Gothic" w:hAnsi="Century Gothic"/>
          <w:sz w:val="20"/>
          <w:szCs w:val="20"/>
        </w:rPr>
      </w:pPr>
    </w:p>
    <w:p w:rsidR="009E5085" w:rsidRPr="007750BD" w:rsidRDefault="009E5085" w:rsidP="009307E4">
      <w:pPr>
        <w:spacing w:after="0" w:line="240" w:lineRule="auto"/>
        <w:rPr>
          <w:rFonts w:ascii="Leelawadee" w:eastAsia="Malgun Gothic" w:hAnsi="Leelawadee" w:cs="Leelawadee"/>
          <w:b/>
        </w:rPr>
      </w:pPr>
      <w:r w:rsidRPr="007750BD">
        <w:rPr>
          <w:rFonts w:ascii="Leelawadee" w:eastAsia="Malgun Gothic" w:hAnsi="Leelawadee" w:cs="Leelawadee"/>
          <w:b/>
        </w:rPr>
        <w:t>What does the McKinney-Vento Act require schools to do for children who have lost housing?</w:t>
      </w:r>
    </w:p>
    <w:p w:rsidR="009E5085" w:rsidRDefault="009E5085" w:rsidP="009307E4">
      <w:pPr>
        <w:spacing w:after="0" w:line="240" w:lineRule="auto"/>
        <w:rPr>
          <w:rFonts w:ascii="Century Gothic" w:eastAsia="Malgun Gothic" w:hAnsi="Century Gothic"/>
          <w:sz w:val="20"/>
          <w:szCs w:val="20"/>
        </w:rPr>
      </w:pPr>
    </w:p>
    <w:p w:rsidR="009E5085" w:rsidRDefault="009E5085" w:rsidP="009307E4">
      <w:pPr>
        <w:spacing w:after="0" w:line="240" w:lineRule="auto"/>
        <w:rPr>
          <w:rFonts w:ascii="Century Gothic" w:eastAsia="Malgun Gothic" w:hAnsi="Century Gothic"/>
          <w:sz w:val="20"/>
          <w:szCs w:val="20"/>
        </w:rPr>
      </w:pPr>
      <w:r w:rsidRPr="0062186F">
        <w:rPr>
          <w:rFonts w:ascii="Century Gothic" w:eastAsia="Malgun Gothic" w:hAnsi="Century Gothic"/>
          <w:b/>
          <w:color w:val="2E74B5" w:themeColor="accent1" w:themeShade="BF"/>
          <w:sz w:val="20"/>
          <w:szCs w:val="20"/>
        </w:rPr>
        <w:t>Schools must</w:t>
      </w:r>
      <w:r w:rsidRPr="0062186F">
        <w:rPr>
          <w:rFonts w:ascii="Century Gothic" w:eastAsia="Malgun Gothic" w:hAnsi="Century Gothic"/>
          <w:color w:val="2E74B5" w:themeColor="accent1" w:themeShade="BF"/>
          <w:sz w:val="20"/>
          <w:szCs w:val="20"/>
        </w:rPr>
        <w:t xml:space="preserve"> </w:t>
      </w:r>
      <w:r>
        <w:rPr>
          <w:rFonts w:ascii="Century Gothic" w:eastAsia="Malgun Gothic" w:hAnsi="Century Gothic"/>
          <w:sz w:val="20"/>
          <w:szCs w:val="20"/>
        </w:rPr>
        <w:t>keep children in the school of origin (the school the child or youth attended when permanently housed or where last enrolled) to the extent feasible, except where contrary to the wishes of the parent or guardian.</w:t>
      </w:r>
    </w:p>
    <w:p w:rsidR="009E5085" w:rsidRDefault="009E5085" w:rsidP="009307E4">
      <w:pPr>
        <w:spacing w:after="0" w:line="240" w:lineRule="auto"/>
        <w:rPr>
          <w:rFonts w:ascii="Century Gothic" w:eastAsia="Malgun Gothic" w:hAnsi="Century Gothic"/>
          <w:sz w:val="20"/>
          <w:szCs w:val="20"/>
        </w:rPr>
      </w:pPr>
    </w:p>
    <w:p w:rsidR="009E5085" w:rsidRDefault="009E5085" w:rsidP="009307E4">
      <w:pPr>
        <w:spacing w:after="0" w:line="240" w:lineRule="auto"/>
        <w:rPr>
          <w:rFonts w:ascii="Century Gothic" w:eastAsia="Malgun Gothic" w:hAnsi="Century Gothic"/>
          <w:sz w:val="20"/>
          <w:szCs w:val="20"/>
        </w:rPr>
      </w:pPr>
      <w:r>
        <w:rPr>
          <w:rFonts w:ascii="Century Gothic" w:eastAsia="Malgun Gothic" w:hAnsi="Century Gothic"/>
          <w:sz w:val="20"/>
          <w:szCs w:val="20"/>
        </w:rPr>
        <w:t>Children or youth’s right to attend their school of origin extends throughout the duration of homelessness.</w:t>
      </w:r>
    </w:p>
    <w:p w:rsidR="009E5085" w:rsidRDefault="009E5085" w:rsidP="009307E4">
      <w:pPr>
        <w:spacing w:after="0" w:line="240" w:lineRule="auto"/>
        <w:rPr>
          <w:rFonts w:ascii="Century Gothic" w:eastAsia="Malgun Gothic" w:hAnsi="Century Gothic"/>
          <w:sz w:val="20"/>
          <w:szCs w:val="20"/>
        </w:rPr>
      </w:pPr>
    </w:p>
    <w:p w:rsidR="009E5085" w:rsidRDefault="009E5085" w:rsidP="009307E4">
      <w:pPr>
        <w:spacing w:after="0" w:line="240" w:lineRule="auto"/>
        <w:rPr>
          <w:rFonts w:ascii="Century Gothic" w:eastAsia="Malgun Gothic" w:hAnsi="Century Gothic"/>
          <w:sz w:val="20"/>
          <w:szCs w:val="20"/>
        </w:rPr>
      </w:pPr>
      <w:r w:rsidRPr="0062186F">
        <w:rPr>
          <w:rFonts w:ascii="Century Gothic" w:eastAsia="Malgun Gothic" w:hAnsi="Century Gothic"/>
          <w:b/>
          <w:color w:val="2E74B5" w:themeColor="accent1" w:themeShade="BF"/>
          <w:sz w:val="20"/>
          <w:szCs w:val="20"/>
        </w:rPr>
        <w:t>Schools must</w:t>
      </w:r>
      <w:r w:rsidRPr="0062186F">
        <w:rPr>
          <w:rFonts w:ascii="Century Gothic" w:eastAsia="Malgun Gothic" w:hAnsi="Century Gothic"/>
          <w:color w:val="2E74B5" w:themeColor="accent1" w:themeShade="BF"/>
          <w:sz w:val="20"/>
          <w:szCs w:val="20"/>
        </w:rPr>
        <w:t xml:space="preserve"> </w:t>
      </w:r>
      <w:r>
        <w:rPr>
          <w:rFonts w:ascii="Century Gothic" w:eastAsia="Malgun Gothic" w:hAnsi="Century Gothic"/>
          <w:sz w:val="20"/>
          <w:szCs w:val="20"/>
        </w:rPr>
        <w:t>remove any barriers that contribute to exclusion or enrollment delay. This means school are required to enroll immediately students experiencing homelessness, and then follow up to retrieve missing information, school records, immunization records, etc.</w:t>
      </w:r>
    </w:p>
    <w:p w:rsidR="009E5085" w:rsidRDefault="009E5085" w:rsidP="009307E4">
      <w:pPr>
        <w:spacing w:after="0" w:line="240" w:lineRule="auto"/>
        <w:rPr>
          <w:rFonts w:ascii="Century Gothic" w:eastAsia="Malgun Gothic" w:hAnsi="Century Gothic"/>
          <w:sz w:val="20"/>
          <w:szCs w:val="20"/>
        </w:rPr>
      </w:pPr>
    </w:p>
    <w:p w:rsidR="009E5085" w:rsidRDefault="009E5085" w:rsidP="009307E4">
      <w:pPr>
        <w:spacing w:after="0" w:line="240" w:lineRule="auto"/>
        <w:rPr>
          <w:rFonts w:ascii="Century Gothic" w:eastAsia="Malgun Gothic" w:hAnsi="Century Gothic"/>
          <w:sz w:val="20"/>
          <w:szCs w:val="20"/>
        </w:rPr>
      </w:pPr>
      <w:r w:rsidRPr="0062186F">
        <w:rPr>
          <w:rFonts w:ascii="Century Gothic" w:eastAsia="Malgun Gothic" w:hAnsi="Century Gothic"/>
          <w:b/>
          <w:color w:val="2E74B5" w:themeColor="accent1" w:themeShade="BF"/>
          <w:sz w:val="20"/>
          <w:szCs w:val="20"/>
        </w:rPr>
        <w:t>Each school must</w:t>
      </w:r>
      <w:r w:rsidRPr="0062186F">
        <w:rPr>
          <w:rFonts w:ascii="Century Gothic" w:eastAsia="Malgun Gothic" w:hAnsi="Century Gothic"/>
          <w:color w:val="2E74B5" w:themeColor="accent1" w:themeShade="BF"/>
          <w:sz w:val="20"/>
          <w:szCs w:val="20"/>
        </w:rPr>
        <w:t xml:space="preserve"> </w:t>
      </w:r>
      <w:r>
        <w:rPr>
          <w:rFonts w:ascii="Century Gothic" w:eastAsia="Malgun Gothic" w:hAnsi="Century Gothic"/>
          <w:sz w:val="20"/>
          <w:szCs w:val="20"/>
        </w:rPr>
        <w:t>post the contact information of the district’s Homeless Education Liaison.</w:t>
      </w:r>
    </w:p>
    <w:p w:rsidR="009E5085" w:rsidRDefault="009E5085" w:rsidP="009307E4">
      <w:pPr>
        <w:spacing w:after="0" w:line="240" w:lineRule="auto"/>
        <w:rPr>
          <w:rFonts w:ascii="Century Gothic" w:eastAsia="Malgun Gothic" w:hAnsi="Century Gothic"/>
          <w:sz w:val="20"/>
          <w:szCs w:val="20"/>
        </w:rPr>
      </w:pPr>
    </w:p>
    <w:p w:rsidR="009E5085" w:rsidRDefault="009E5085" w:rsidP="009307E4">
      <w:pPr>
        <w:spacing w:after="0" w:line="240" w:lineRule="auto"/>
        <w:rPr>
          <w:rFonts w:ascii="Century Gothic" w:eastAsia="Malgun Gothic" w:hAnsi="Century Gothic"/>
          <w:sz w:val="20"/>
          <w:szCs w:val="20"/>
        </w:rPr>
      </w:pPr>
      <w:r w:rsidRPr="0062186F">
        <w:rPr>
          <w:rFonts w:ascii="Century Gothic" w:eastAsia="Malgun Gothic" w:hAnsi="Century Gothic"/>
          <w:b/>
          <w:color w:val="2E74B5" w:themeColor="accent1" w:themeShade="BF"/>
          <w:sz w:val="20"/>
          <w:szCs w:val="20"/>
        </w:rPr>
        <w:t>Each school must</w:t>
      </w:r>
      <w:r w:rsidRPr="0062186F">
        <w:rPr>
          <w:rFonts w:ascii="Century Gothic" w:eastAsia="Malgun Gothic" w:hAnsi="Century Gothic"/>
          <w:color w:val="2E74B5" w:themeColor="accent1" w:themeShade="BF"/>
          <w:sz w:val="20"/>
          <w:szCs w:val="20"/>
        </w:rPr>
        <w:t xml:space="preserve"> </w:t>
      </w:r>
      <w:r>
        <w:rPr>
          <w:rFonts w:ascii="Century Gothic" w:eastAsia="Malgun Gothic" w:hAnsi="Century Gothic"/>
          <w:sz w:val="20"/>
          <w:szCs w:val="20"/>
        </w:rPr>
        <w:t>post public notice of educational rights of children and youth experiencing homelessness.</w:t>
      </w:r>
    </w:p>
    <w:p w:rsidR="009E5085" w:rsidRDefault="009E5085" w:rsidP="009307E4">
      <w:pPr>
        <w:spacing w:after="0" w:line="240" w:lineRule="auto"/>
        <w:rPr>
          <w:rFonts w:ascii="Century Gothic" w:eastAsia="Malgun Gothic" w:hAnsi="Century Gothic"/>
          <w:sz w:val="20"/>
          <w:szCs w:val="20"/>
        </w:rPr>
      </w:pPr>
    </w:p>
    <w:p w:rsidR="009E5085" w:rsidRDefault="009E5085" w:rsidP="009307E4">
      <w:pPr>
        <w:spacing w:after="0" w:line="240" w:lineRule="auto"/>
        <w:rPr>
          <w:rFonts w:ascii="Century Gothic" w:eastAsia="Malgun Gothic" w:hAnsi="Century Gothic"/>
          <w:sz w:val="20"/>
          <w:szCs w:val="20"/>
        </w:rPr>
      </w:pPr>
      <w:r w:rsidRPr="0062186F">
        <w:rPr>
          <w:rFonts w:ascii="Century Gothic" w:eastAsia="Malgun Gothic" w:hAnsi="Century Gothic"/>
          <w:b/>
          <w:color w:val="2E74B5" w:themeColor="accent1" w:themeShade="BF"/>
          <w:sz w:val="20"/>
          <w:szCs w:val="20"/>
        </w:rPr>
        <w:t>Schools must</w:t>
      </w:r>
      <w:r w:rsidRPr="0062186F">
        <w:rPr>
          <w:rFonts w:ascii="Century Gothic" w:eastAsia="Malgun Gothic" w:hAnsi="Century Gothic"/>
          <w:color w:val="2E74B5" w:themeColor="accent1" w:themeShade="BF"/>
          <w:sz w:val="20"/>
          <w:szCs w:val="20"/>
        </w:rPr>
        <w:t xml:space="preserve"> </w:t>
      </w:r>
      <w:r>
        <w:rPr>
          <w:rFonts w:ascii="Century Gothic" w:eastAsia="Malgun Gothic" w:hAnsi="Century Gothic"/>
          <w:sz w:val="20"/>
          <w:szCs w:val="20"/>
        </w:rPr>
        <w:t xml:space="preserve">ensure enrollment with full and equal opportunity for students to succeed in school, including participation in such school district programs as Title I, exceptional student education, vocational and technical, Head Start, Even Start, preschool, etc. </w:t>
      </w:r>
    </w:p>
    <w:p w:rsidR="0062186F" w:rsidRDefault="0062186F" w:rsidP="009307E4">
      <w:pPr>
        <w:spacing w:after="0" w:line="240" w:lineRule="auto"/>
        <w:rPr>
          <w:rFonts w:ascii="Century Gothic" w:eastAsia="Malgun Gothic" w:hAnsi="Century Gothic"/>
          <w:sz w:val="20"/>
          <w:szCs w:val="20"/>
        </w:rPr>
      </w:pPr>
    </w:p>
    <w:p w:rsidR="0062186F" w:rsidRDefault="0062186F" w:rsidP="009307E4">
      <w:pPr>
        <w:spacing w:after="0" w:line="240" w:lineRule="auto"/>
        <w:rPr>
          <w:rFonts w:ascii="Century Gothic" w:eastAsia="Malgun Gothic" w:hAnsi="Century Gothic"/>
          <w:sz w:val="20"/>
          <w:szCs w:val="20"/>
        </w:rPr>
      </w:pPr>
    </w:p>
    <w:p w:rsidR="0062186F" w:rsidRDefault="0062186F" w:rsidP="009307E4">
      <w:pPr>
        <w:spacing w:after="0" w:line="240" w:lineRule="auto"/>
        <w:rPr>
          <w:rFonts w:ascii="Century Gothic" w:eastAsia="Malgun Gothic" w:hAnsi="Century Gothic"/>
          <w:sz w:val="20"/>
          <w:szCs w:val="20"/>
        </w:rPr>
      </w:pPr>
    </w:p>
    <w:p w:rsidR="0062186F" w:rsidRDefault="0062186F" w:rsidP="009307E4">
      <w:pPr>
        <w:spacing w:after="0" w:line="240" w:lineRule="auto"/>
        <w:rPr>
          <w:rFonts w:ascii="Century Gothic" w:eastAsia="Malgun Gothic" w:hAnsi="Century Gothic"/>
          <w:sz w:val="20"/>
          <w:szCs w:val="20"/>
        </w:rPr>
      </w:pPr>
      <w:bookmarkStart w:id="0" w:name="_GoBack"/>
      <w:bookmarkEnd w:id="0"/>
    </w:p>
    <w:p w:rsidR="0062186F" w:rsidRDefault="0062186F" w:rsidP="009307E4">
      <w:pPr>
        <w:spacing w:after="0" w:line="240" w:lineRule="auto"/>
        <w:rPr>
          <w:rFonts w:ascii="Century Gothic" w:eastAsia="Malgun Gothic" w:hAnsi="Century Gothic"/>
          <w:sz w:val="20"/>
          <w:szCs w:val="20"/>
        </w:rPr>
      </w:pPr>
    </w:p>
    <w:p w:rsidR="0062186F" w:rsidRDefault="0062186F" w:rsidP="009307E4">
      <w:pPr>
        <w:spacing w:after="0" w:line="240" w:lineRule="auto"/>
        <w:rPr>
          <w:rFonts w:ascii="Century Gothic" w:eastAsia="Malgun Gothic" w:hAnsi="Century Gothic"/>
          <w:sz w:val="20"/>
          <w:szCs w:val="20"/>
        </w:rPr>
      </w:pPr>
      <w:r>
        <w:rPr>
          <w:rFonts w:ascii="Century Gothic" w:eastAsia="Malgun Gothic" w:hAnsi="Century Gothic"/>
          <w:noProof/>
          <w:sz w:val="20"/>
          <w:szCs w:val="20"/>
        </w:rPr>
        <w:drawing>
          <wp:anchor distT="0" distB="0" distL="114300" distR="114300" simplePos="0" relativeHeight="251662336" behindDoc="0" locked="0" layoutInCell="1" allowOverlap="1">
            <wp:simplePos x="0" y="0"/>
            <wp:positionH relativeFrom="column">
              <wp:posOffset>3976</wp:posOffset>
            </wp:positionH>
            <wp:positionV relativeFrom="paragraph">
              <wp:posOffset>3976</wp:posOffset>
            </wp:positionV>
            <wp:extent cx="2505075" cy="18288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act.png"/>
                    <pic:cNvPicPr/>
                  </pic:nvPicPr>
                  <pic:blipFill>
                    <a:blip r:embed="rId10">
                      <a:extLst>
                        <a:ext uri="{28A0092B-C50C-407E-A947-70E740481C1C}">
                          <a14:useLocalDpi xmlns:a14="http://schemas.microsoft.com/office/drawing/2010/main" val="0"/>
                        </a:ext>
                      </a:extLst>
                    </a:blip>
                    <a:stretch>
                      <a:fillRect/>
                    </a:stretch>
                  </pic:blipFill>
                  <pic:spPr>
                    <a:xfrm>
                      <a:off x="0" y="0"/>
                      <a:ext cx="2505075" cy="1828800"/>
                    </a:xfrm>
                    <a:prstGeom prst="rect">
                      <a:avLst/>
                    </a:prstGeom>
                  </pic:spPr>
                </pic:pic>
              </a:graphicData>
            </a:graphic>
          </wp:anchor>
        </w:drawing>
      </w:r>
    </w:p>
    <w:p w:rsidR="00957DEE" w:rsidRDefault="00957DEE" w:rsidP="009307E4">
      <w:pPr>
        <w:spacing w:after="0" w:line="240" w:lineRule="auto"/>
        <w:rPr>
          <w:rFonts w:ascii="Century Gothic" w:eastAsia="Malgun Gothic" w:hAnsi="Century Gothic"/>
          <w:sz w:val="20"/>
          <w:szCs w:val="20"/>
        </w:rPr>
      </w:pPr>
    </w:p>
    <w:p w:rsidR="00957DEE" w:rsidRDefault="00957DEE" w:rsidP="009307E4">
      <w:pPr>
        <w:spacing w:after="0" w:line="240" w:lineRule="auto"/>
        <w:rPr>
          <w:rFonts w:ascii="Century Gothic" w:eastAsia="Malgun Gothic" w:hAnsi="Century Gothic"/>
          <w:sz w:val="20"/>
          <w:szCs w:val="20"/>
        </w:rPr>
      </w:pPr>
    </w:p>
    <w:p w:rsidR="00957DEE" w:rsidRPr="007750BD" w:rsidRDefault="0062186F" w:rsidP="0062186F">
      <w:pPr>
        <w:spacing w:after="0" w:line="240" w:lineRule="auto"/>
        <w:jc w:val="center"/>
        <w:rPr>
          <w:rFonts w:ascii="Leelawadee" w:eastAsia="Malgun Gothic" w:hAnsi="Leelawadee" w:cs="Leelawadee"/>
          <w:b/>
          <w:sz w:val="24"/>
          <w:szCs w:val="24"/>
        </w:rPr>
      </w:pPr>
      <w:r w:rsidRPr="007750BD">
        <w:rPr>
          <w:rFonts w:ascii="Leelawadee" w:eastAsia="Malgun Gothic" w:hAnsi="Leelawadee" w:cs="Leelawadee"/>
          <w:b/>
          <w:sz w:val="24"/>
          <w:szCs w:val="24"/>
        </w:rPr>
        <w:t>Local Area Contacts:</w:t>
      </w:r>
    </w:p>
    <w:p w:rsidR="0062186F" w:rsidRDefault="0062186F" w:rsidP="0062186F">
      <w:pPr>
        <w:spacing w:after="0" w:line="240" w:lineRule="auto"/>
        <w:jc w:val="center"/>
        <w:rPr>
          <w:rFonts w:ascii="Century Gothic" w:eastAsia="Malgun Gothic" w:hAnsi="Century Gothic"/>
          <w:sz w:val="20"/>
          <w:szCs w:val="20"/>
        </w:rPr>
      </w:pP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 xml:space="preserve">Mary </w:t>
      </w:r>
      <w:proofErr w:type="spellStart"/>
      <w:r>
        <w:rPr>
          <w:rFonts w:ascii="Century Gothic" w:eastAsia="Malgun Gothic" w:hAnsi="Century Gothic"/>
          <w:sz w:val="20"/>
          <w:szCs w:val="20"/>
        </w:rPr>
        <w:t>Gammill</w:t>
      </w:r>
      <w:proofErr w:type="spellEnd"/>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(863) 462-5000 ext. 266</w:t>
      </w:r>
    </w:p>
    <w:p w:rsidR="00957DEE" w:rsidRDefault="00957DEE" w:rsidP="0062186F">
      <w:pPr>
        <w:spacing w:after="0" w:line="240" w:lineRule="auto"/>
        <w:jc w:val="center"/>
        <w:rPr>
          <w:rFonts w:ascii="Century Gothic" w:eastAsia="Malgun Gothic" w:hAnsi="Century Gothic"/>
          <w:sz w:val="20"/>
          <w:szCs w:val="20"/>
        </w:rPr>
      </w:pP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Paige Zeller</w:t>
      </w: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(863) 462-5000 ext. 291</w:t>
      </w:r>
    </w:p>
    <w:p w:rsidR="0062186F" w:rsidRDefault="0062186F" w:rsidP="0062186F">
      <w:pPr>
        <w:spacing w:after="0" w:line="240" w:lineRule="auto"/>
        <w:jc w:val="center"/>
        <w:rPr>
          <w:rFonts w:ascii="Century Gothic" w:eastAsia="Malgun Gothic" w:hAnsi="Century Gothic"/>
          <w:sz w:val="20"/>
          <w:szCs w:val="20"/>
        </w:rPr>
      </w:pPr>
    </w:p>
    <w:p w:rsidR="0062186F" w:rsidRDefault="0062186F" w:rsidP="0062186F">
      <w:pPr>
        <w:spacing w:after="0" w:line="240" w:lineRule="auto"/>
        <w:rPr>
          <w:rFonts w:ascii="Century Gothic" w:eastAsia="Malgun Gothic" w:hAnsi="Century Gothic"/>
          <w:b/>
          <w:sz w:val="24"/>
          <w:szCs w:val="24"/>
        </w:rPr>
      </w:pPr>
    </w:p>
    <w:p w:rsidR="0062186F" w:rsidRPr="007750BD" w:rsidRDefault="0062186F" w:rsidP="0062186F">
      <w:pPr>
        <w:spacing w:after="0" w:line="240" w:lineRule="auto"/>
        <w:jc w:val="center"/>
        <w:rPr>
          <w:rFonts w:ascii="Leelawadee" w:eastAsia="Malgun Gothic" w:hAnsi="Leelawadee" w:cs="Leelawadee"/>
          <w:b/>
          <w:sz w:val="24"/>
          <w:szCs w:val="24"/>
        </w:rPr>
      </w:pPr>
      <w:r w:rsidRPr="007750BD">
        <w:rPr>
          <w:rFonts w:ascii="Leelawadee" w:eastAsia="Malgun Gothic" w:hAnsi="Leelawadee" w:cs="Leelawadee"/>
          <w:b/>
          <w:sz w:val="24"/>
          <w:szCs w:val="24"/>
        </w:rPr>
        <w:t>State Director:</w:t>
      </w:r>
    </w:p>
    <w:p w:rsidR="0062186F" w:rsidRDefault="0062186F" w:rsidP="0062186F">
      <w:pPr>
        <w:spacing w:after="0" w:line="240" w:lineRule="auto"/>
        <w:jc w:val="center"/>
        <w:rPr>
          <w:rFonts w:ascii="Century Gothic" w:eastAsia="Malgun Gothic" w:hAnsi="Century Gothic"/>
          <w:sz w:val="20"/>
          <w:szCs w:val="20"/>
        </w:rPr>
      </w:pP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Skip Forsyth</w:t>
      </w: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Florida Department of Education Bureau of Federal Educational Programs</w:t>
      </w: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Homeless Education Program</w:t>
      </w: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Tallahassee, Florida 32399-0400</w:t>
      </w: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sz w:val="20"/>
          <w:szCs w:val="20"/>
        </w:rPr>
        <w:t>(850) 245-0414</w:t>
      </w:r>
    </w:p>
    <w:p w:rsidR="0062186F" w:rsidRDefault="0062186F" w:rsidP="0062186F">
      <w:pPr>
        <w:spacing w:after="0" w:line="240" w:lineRule="auto"/>
        <w:jc w:val="center"/>
        <w:rPr>
          <w:rFonts w:ascii="Century Gothic" w:eastAsia="Malgun Gothic" w:hAnsi="Century Gothic"/>
          <w:sz w:val="20"/>
          <w:szCs w:val="20"/>
        </w:rPr>
      </w:pPr>
    </w:p>
    <w:p w:rsidR="0062186F" w:rsidRDefault="0062186F" w:rsidP="0062186F">
      <w:pPr>
        <w:spacing w:after="0" w:line="240" w:lineRule="auto"/>
        <w:jc w:val="center"/>
        <w:rPr>
          <w:rFonts w:ascii="Century Gothic" w:eastAsia="Malgun Gothic" w:hAnsi="Century Gothic"/>
          <w:b/>
          <w:sz w:val="24"/>
          <w:szCs w:val="24"/>
        </w:rPr>
      </w:pPr>
    </w:p>
    <w:p w:rsidR="0062186F" w:rsidRPr="007750BD" w:rsidRDefault="0062186F" w:rsidP="0062186F">
      <w:pPr>
        <w:spacing w:after="0" w:line="240" w:lineRule="auto"/>
        <w:jc w:val="center"/>
        <w:rPr>
          <w:rFonts w:ascii="Leelawadee" w:eastAsia="Malgun Gothic" w:hAnsi="Leelawadee" w:cs="Leelawadee"/>
          <w:b/>
          <w:sz w:val="24"/>
          <w:szCs w:val="24"/>
        </w:rPr>
      </w:pPr>
      <w:r w:rsidRPr="007750BD">
        <w:rPr>
          <w:rFonts w:ascii="Leelawadee" w:eastAsia="Malgun Gothic" w:hAnsi="Leelawadee" w:cs="Leelawadee"/>
          <w:b/>
          <w:sz w:val="24"/>
          <w:szCs w:val="24"/>
        </w:rPr>
        <w:t>Program Website:</w:t>
      </w:r>
    </w:p>
    <w:p w:rsidR="0062186F" w:rsidRDefault="0062186F" w:rsidP="0062186F">
      <w:pPr>
        <w:spacing w:after="0" w:line="240" w:lineRule="auto"/>
        <w:jc w:val="center"/>
        <w:rPr>
          <w:rFonts w:ascii="Century Gothic" w:eastAsia="Malgun Gothic" w:hAnsi="Century Gothic"/>
          <w:sz w:val="20"/>
          <w:szCs w:val="20"/>
        </w:rPr>
      </w:pPr>
    </w:p>
    <w:p w:rsidR="0062186F" w:rsidRDefault="0062186F" w:rsidP="0062186F">
      <w:pPr>
        <w:spacing w:after="0" w:line="240" w:lineRule="auto"/>
        <w:jc w:val="center"/>
        <w:rPr>
          <w:rFonts w:ascii="Century Gothic" w:eastAsia="Malgun Gothic" w:hAnsi="Century Gothic"/>
          <w:sz w:val="20"/>
          <w:szCs w:val="20"/>
        </w:rPr>
      </w:pPr>
      <w:hyperlink r:id="rId11" w:history="1">
        <w:r w:rsidRPr="002A52FC">
          <w:rPr>
            <w:rStyle w:val="Hyperlink"/>
            <w:rFonts w:ascii="Century Gothic" w:eastAsia="Malgun Gothic" w:hAnsi="Century Gothic"/>
            <w:sz w:val="20"/>
            <w:szCs w:val="20"/>
          </w:rPr>
          <w:t>http://www.fldoe.org/bsa/title1/titlex.asp</w:t>
        </w:r>
      </w:hyperlink>
    </w:p>
    <w:p w:rsidR="0062186F" w:rsidRDefault="0062186F" w:rsidP="0062186F">
      <w:pPr>
        <w:spacing w:after="0" w:line="240" w:lineRule="auto"/>
        <w:jc w:val="center"/>
        <w:rPr>
          <w:rFonts w:ascii="Century Gothic" w:eastAsia="Malgun Gothic" w:hAnsi="Century Gothic"/>
          <w:sz w:val="20"/>
          <w:szCs w:val="20"/>
        </w:rPr>
      </w:pPr>
    </w:p>
    <w:p w:rsidR="0062186F" w:rsidRDefault="0062186F" w:rsidP="0062186F">
      <w:pPr>
        <w:spacing w:after="0" w:line="240" w:lineRule="auto"/>
        <w:jc w:val="center"/>
        <w:rPr>
          <w:rFonts w:ascii="Century Gothic" w:eastAsia="Malgun Gothic" w:hAnsi="Century Gothic"/>
          <w:sz w:val="20"/>
          <w:szCs w:val="20"/>
        </w:rPr>
      </w:pPr>
      <w:r>
        <w:rPr>
          <w:rFonts w:ascii="Century Gothic" w:eastAsia="Malgun Gothic" w:hAnsi="Century Gothic"/>
          <w:noProof/>
          <w:sz w:val="20"/>
          <w:szCs w:val="20"/>
        </w:rPr>
        <w:drawing>
          <wp:anchor distT="0" distB="0" distL="114300" distR="114300" simplePos="0" relativeHeight="251663360" behindDoc="0" locked="0" layoutInCell="1" allowOverlap="1">
            <wp:simplePos x="0" y="0"/>
            <wp:positionH relativeFrom="column">
              <wp:posOffset>504714</wp:posOffset>
            </wp:positionH>
            <wp:positionV relativeFrom="paragraph">
              <wp:posOffset>132080</wp:posOffset>
            </wp:positionV>
            <wp:extent cx="1896292" cy="683812"/>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doe.png"/>
                    <pic:cNvPicPr/>
                  </pic:nvPicPr>
                  <pic:blipFill>
                    <a:blip r:embed="rId12">
                      <a:extLst>
                        <a:ext uri="{28A0092B-C50C-407E-A947-70E740481C1C}">
                          <a14:useLocalDpi xmlns:a14="http://schemas.microsoft.com/office/drawing/2010/main" val="0"/>
                        </a:ext>
                      </a:extLst>
                    </a:blip>
                    <a:stretch>
                      <a:fillRect/>
                    </a:stretch>
                  </pic:blipFill>
                  <pic:spPr>
                    <a:xfrm>
                      <a:off x="0" y="0"/>
                      <a:ext cx="1896292" cy="683812"/>
                    </a:xfrm>
                    <a:prstGeom prst="rect">
                      <a:avLst/>
                    </a:prstGeom>
                  </pic:spPr>
                </pic:pic>
              </a:graphicData>
            </a:graphic>
            <wp14:sizeRelH relativeFrom="margin">
              <wp14:pctWidth>0</wp14:pctWidth>
            </wp14:sizeRelH>
            <wp14:sizeRelV relativeFrom="margin">
              <wp14:pctHeight>0</wp14:pctHeight>
            </wp14:sizeRelV>
          </wp:anchor>
        </w:drawing>
      </w:r>
    </w:p>
    <w:p w:rsidR="00957DEE" w:rsidRPr="00957DEE" w:rsidRDefault="00957DEE" w:rsidP="009307E4">
      <w:pPr>
        <w:spacing w:after="0" w:line="240" w:lineRule="auto"/>
        <w:rPr>
          <w:rFonts w:ascii="Century Gothic" w:eastAsia="Malgun Gothic" w:hAnsi="Century Gothic"/>
          <w:sz w:val="20"/>
          <w:szCs w:val="20"/>
        </w:rPr>
      </w:pPr>
    </w:p>
    <w:sectPr w:rsidR="00957DEE" w:rsidRPr="00957DEE" w:rsidSect="003A5AEF">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B6D70"/>
    <w:multiLevelType w:val="hybridMultilevel"/>
    <w:tmpl w:val="6154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E244A"/>
    <w:multiLevelType w:val="hybridMultilevel"/>
    <w:tmpl w:val="BF4E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EF"/>
    <w:rsid w:val="003A5AEF"/>
    <w:rsid w:val="0062186F"/>
    <w:rsid w:val="007750BD"/>
    <w:rsid w:val="009307E4"/>
    <w:rsid w:val="00957DEE"/>
    <w:rsid w:val="009E5085"/>
    <w:rsid w:val="00B74F47"/>
    <w:rsid w:val="00C6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F5E729"/>
  <w15:chartTrackingRefBased/>
  <w15:docId w15:val="{3AA37204-5B77-4F4C-89A9-5368834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791"/>
    <w:pPr>
      <w:ind w:left="720"/>
      <w:contextualSpacing/>
    </w:pPr>
  </w:style>
  <w:style w:type="character" w:styleId="Hyperlink">
    <w:name w:val="Hyperlink"/>
    <w:basedOn w:val="DefaultParagraphFont"/>
    <w:uiPriority w:val="99"/>
    <w:unhideWhenUsed/>
    <w:rsid w:val="00621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ldoe.org/bsa/title1/titlex.asp"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OCSB</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TRISHA</dc:creator>
  <cp:keywords/>
  <dc:description/>
  <cp:lastModifiedBy>JENNINGS, TRISHA</cp:lastModifiedBy>
  <cp:revision>1</cp:revision>
  <dcterms:created xsi:type="dcterms:W3CDTF">2017-09-20T17:02:00Z</dcterms:created>
  <dcterms:modified xsi:type="dcterms:W3CDTF">2017-09-20T18:07:00Z</dcterms:modified>
</cp:coreProperties>
</file>